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6290" w14:textId="77777777"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 </w:t>
      </w:r>
    </w:p>
    <w:p w14:paraId="3F4CC68C" w14:textId="2056E9F8" w:rsidR="00946DB4" w:rsidRDefault="0034671E" w:rsidP="00352344">
      <w:pPr>
        <w:spacing w:line="276" w:lineRule="auto"/>
        <w:ind w:firstLine="426"/>
        <w:jc w:val="both"/>
        <w:rPr>
          <w:rFonts w:ascii="Times New Roman" w:eastAsia="Times New Roman" w:hAnsi="Times New Roman" w:cs="Times New Roman"/>
          <w:lang w:val="lt-LT"/>
        </w:rPr>
      </w:pPr>
      <w:r w:rsidRPr="00352344">
        <w:rPr>
          <w:rFonts w:ascii="Times New Roman" w:hAnsi="Times New Roman" w:cs="Times New Roman"/>
          <w:lang w:val="lt-LT"/>
        </w:rPr>
        <w:fldChar w:fldCharType="begin"/>
      </w:r>
      <w:r w:rsidRPr="00352344">
        <w:rPr>
          <w:rFonts w:ascii="Times New Roman" w:hAnsi="Times New Roman" w:cs="Times New Roman"/>
          <w:lang w:val="lt-LT"/>
        </w:rPr>
        <w:instrText xml:space="preserve"> HYPERLINK "https://e-seimas.lrs.lt/portal/legalActEditions/lt/TAD/3832a702d8ea11e782d4fd2c44cc67af" </w:instrText>
      </w:r>
      <w:r w:rsidRPr="00352344">
        <w:rPr>
          <w:rFonts w:ascii="Times New Roman" w:hAnsi="Times New Roman" w:cs="Times New Roman"/>
          <w:lang w:val="lt-LT"/>
        </w:rPr>
        <w:fldChar w:fldCharType="separate"/>
      </w:r>
      <w:r w:rsidR="00946DB4" w:rsidRPr="00352344">
        <w:rPr>
          <w:rFonts w:ascii="Times New Roman" w:eastAsia="Times New Roman" w:hAnsi="Times New Roman" w:cs="Times New Roman"/>
          <w:b/>
          <w:bCs/>
          <w:color w:val="0000FF"/>
          <w:u w:val="single"/>
          <w:lang w:val="lt-LT"/>
        </w:rPr>
        <w:t>Lietuvos Respublikos pranešėjų apsaugos įstatymas</w:t>
      </w:r>
      <w:r w:rsidRPr="00352344">
        <w:rPr>
          <w:rFonts w:ascii="Times New Roman" w:eastAsia="Times New Roman" w:hAnsi="Times New Roman" w:cs="Times New Roman"/>
          <w:b/>
          <w:bCs/>
          <w:color w:val="0000FF"/>
          <w:u w:val="single"/>
          <w:lang w:val="lt-LT"/>
        </w:rPr>
        <w:fldChar w:fldCharType="end"/>
      </w:r>
      <w:r w:rsidR="00946DB4" w:rsidRPr="00352344">
        <w:rPr>
          <w:rFonts w:ascii="Times New Roman" w:eastAsia="Times New Roman" w:hAnsi="Times New Roman" w:cs="Times New Roman"/>
          <w:b/>
          <w:bCs/>
          <w:lang w:val="lt-LT"/>
        </w:rPr>
        <w:t> </w:t>
      </w:r>
      <w:r w:rsidR="00946DB4" w:rsidRPr="00352344">
        <w:rPr>
          <w:rFonts w:ascii="Times New Roman" w:eastAsia="Times New Roman" w:hAnsi="Times New Roman" w:cs="Times New Roman"/>
          <w:lang w:val="lt-LT"/>
        </w:rPr>
        <w:t>(toliau – Įstatymas) įtvirtina asmenų, pateikusių informaciją apie pažeidimą įstaigoje, su kuria juos sieja ar siejo darbo santykiai arba sutartiniai santykiai, apsaugos mechanizmą. Šis Įstatymas taip pat nustato apie pažeidimus įstaigose pranešusių asmenų teises ir pareigas, jų teisinės apsaugos pagrindus ir formas, taip pat šių asmenų apsaugos, skatinimo ir pagalbos jiems priemones, siekiant sudaryti tinkamas galimybes pranešti apie teisės pažeidimus, keliančius grėsmę viešajam interesui arba jį pažeidžiančius, užtikrinti tokių pažeidimų prevenciją ir atskleidimą.</w:t>
      </w:r>
    </w:p>
    <w:p w14:paraId="415A86B1" w14:textId="77777777" w:rsidR="00352344" w:rsidRPr="00352344" w:rsidRDefault="00352344" w:rsidP="00352344">
      <w:pPr>
        <w:spacing w:line="276" w:lineRule="auto"/>
        <w:ind w:firstLine="426"/>
        <w:jc w:val="both"/>
        <w:rPr>
          <w:rFonts w:ascii="Times New Roman" w:eastAsia="Times New Roman" w:hAnsi="Times New Roman" w:cs="Times New Roman"/>
          <w:lang w:val="lt-LT"/>
        </w:rPr>
      </w:pPr>
    </w:p>
    <w:p w14:paraId="0642A2E9"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b/>
          <w:bCs/>
          <w:lang w:val="lt-LT"/>
        </w:rPr>
        <w:t>Informacija apie pažeidimus teikiama dėl:</w:t>
      </w:r>
    </w:p>
    <w:p w14:paraId="4570726D"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1) pavojaus visuomenės saugumui ar sveikatai, asmens gyvybei ar sveikatai;</w:t>
      </w:r>
    </w:p>
    <w:p w14:paraId="05E298C4"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2) pavojaus aplinkai;</w:t>
      </w:r>
    </w:p>
    <w:p w14:paraId="610B5086"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3) kliudymo arba neteisėto poveikio teisėsaugos institucijų atliekamiems tyrimams ar teismams vykdant teisingumą;</w:t>
      </w:r>
    </w:p>
    <w:p w14:paraId="0A1CFCCD"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4) neteisėtos veiklos finansavimo;</w:t>
      </w:r>
    </w:p>
    <w:p w14:paraId="151AE8F7"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5) neteisėto ar neskaidraus viešųjų lėšų ar turto naudojimo;</w:t>
      </w:r>
    </w:p>
    <w:p w14:paraId="446810D0"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6) neteisėtu būdu įgyto turto;</w:t>
      </w:r>
    </w:p>
    <w:p w14:paraId="6759E788"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7) padaryto pažeidimo padarinių slėpimo, kliudymo nustatyti padarinių mastą;</w:t>
      </w:r>
    </w:p>
    <w:p w14:paraId="7F1442CA"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8) pažeidimų, nurodytų Lietuvos Respublikos teisingumo ministro patvirtintame sąraše, parengtame atsižvelgiant į Direktyvoje (ES) 2019/1937 nurodytų Europos Sąjungos teisės aktų taikymo sritį;</w:t>
      </w:r>
    </w:p>
    <w:p w14:paraId="47533F49"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9) kenkimo Europos Sąjungos finansiniams interesams, kaip nurodyta Sutarties dėl Europos Sąjungos veikimo 325 straipsnyje ir išsamiau apibūdinta susijusiose Europos Sąjungos priemonėse;</w:t>
      </w:r>
    </w:p>
    <w:p w14:paraId="5FAFAFC1"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10) pažeidimų, susijusių su vidaus rinka, kaip nurodyta Sutarties dėl Europos Sąjungos veikimo 26 straipsnio 2 dalyje, įskaitant Europos Sąjungos konkurencijos ir valstybės pagalbos taisyklių pažeidimus, taip pat su vidaus rinka susijusius pažeidimus dėl veiksmų, kuriais pažeidžiamos pelno mokesčio taisyklės, arba susitarimus, kuriais siekiama įgyti mokestinį pranašumą, kenkiantį taikytinos pelno mokesčio teisės dalykui arba tikslui;</w:t>
      </w:r>
    </w:p>
    <w:p w14:paraId="71F66FF4" w14:textId="77777777" w:rsidR="00352344" w:rsidRPr="00352344" w:rsidRDefault="00352344" w:rsidP="00352344">
      <w:pPr>
        <w:spacing w:line="276" w:lineRule="auto"/>
        <w:ind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11) kitų keliančių grėsmę viešajam interesui arba jį pažeidžiančių pažeidimų.</w:t>
      </w:r>
    </w:p>
    <w:p w14:paraId="6E599B7E" w14:textId="77777777" w:rsidR="00352344" w:rsidRPr="00352344" w:rsidRDefault="00352344" w:rsidP="00352344">
      <w:pPr>
        <w:spacing w:line="276" w:lineRule="auto"/>
        <w:ind w:firstLine="426"/>
        <w:jc w:val="both"/>
        <w:rPr>
          <w:rFonts w:ascii="Times New Roman" w:eastAsia="Times New Roman" w:hAnsi="Times New Roman" w:cs="Times New Roman"/>
          <w:lang w:val="lt-LT"/>
        </w:rPr>
      </w:pPr>
    </w:p>
    <w:p w14:paraId="3EC698B3" w14:textId="77777777" w:rsidR="00352344" w:rsidRPr="00352344" w:rsidRDefault="00352344" w:rsidP="00352344">
      <w:pPr>
        <w:ind w:firstLine="426"/>
        <w:rPr>
          <w:rFonts w:ascii="Times New Roman" w:hAnsi="Times New Roman" w:cs="Times New Roman"/>
        </w:rPr>
      </w:pPr>
      <w:r w:rsidRPr="00352344">
        <w:rPr>
          <w:rFonts w:ascii="Times New Roman" w:hAnsi="Times New Roman" w:cs="Times New Roman"/>
          <w:b/>
          <w:bCs/>
        </w:rPr>
        <w:t>PRANEŠIMO PATEIKIMAS</w:t>
      </w:r>
    </w:p>
    <w:p w14:paraId="1961A78D" w14:textId="305A0DFB"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 xml:space="preserve">Pranešimus apie pažeidimus Centre gali pateikti esami ir buvę Centro darbuotojai ar asmenys susiję su Centro sutartiniais santykiais (konsultavimo, rangos, stažuotės, praktikos, </w:t>
      </w:r>
      <w:proofErr w:type="spellStart"/>
      <w:r w:rsidRPr="00352344">
        <w:rPr>
          <w:rFonts w:ascii="Times New Roman" w:eastAsia="Times New Roman" w:hAnsi="Times New Roman" w:cs="Times New Roman"/>
          <w:lang w:val="lt-LT"/>
        </w:rPr>
        <w:t>savanorystės</w:t>
      </w:r>
      <w:proofErr w:type="spellEnd"/>
      <w:r w:rsidRPr="00352344">
        <w:rPr>
          <w:rFonts w:ascii="Times New Roman" w:eastAsia="Times New Roman" w:hAnsi="Times New Roman" w:cs="Times New Roman"/>
          <w:lang w:val="lt-LT"/>
        </w:rPr>
        <w:t xml:space="preserve"> ir pan.).</w:t>
      </w:r>
    </w:p>
    <w:p w14:paraId="1E04173E" w14:textId="77777777" w:rsidR="00352344" w:rsidRDefault="00352344" w:rsidP="00352344">
      <w:pPr>
        <w:spacing w:line="276" w:lineRule="auto"/>
        <w:ind w:firstLine="426"/>
        <w:jc w:val="both"/>
        <w:rPr>
          <w:rFonts w:ascii="Times New Roman" w:eastAsia="Times New Roman" w:hAnsi="Times New Roman" w:cs="Times New Roman"/>
          <w:b/>
          <w:bCs/>
          <w:lang w:val="lt-LT"/>
        </w:rPr>
      </w:pPr>
    </w:p>
    <w:p w14:paraId="1F41D544" w14:textId="09D7271C"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b/>
          <w:bCs/>
          <w:lang w:val="lt-LT"/>
        </w:rPr>
        <w:t>Pažeidimas</w:t>
      </w:r>
      <w:r w:rsidRPr="00352344">
        <w:rPr>
          <w:rFonts w:ascii="Times New Roman" w:eastAsia="Times New Roman" w:hAnsi="Times New Roman" w:cs="Times New Roman"/>
          <w:lang w:val="lt-LT"/>
        </w:rPr>
        <w:t xml:space="preserve"> – Centre galbūt rengiama, daroma ar padaryta nusikalstama veika, administracinis nusižengimas, darbo pareigų pažeidimas ar kitas grėsmę viešajam interesui keliantis arba jį pažeidžiantis teisės pažeidimas, apie kuriuos asmuo, teikiantis informaciją apie pažeidimą, sužino iš savo turimų ar turėtų darbo arba sutartinių santykių su Centru.</w:t>
      </w:r>
    </w:p>
    <w:p w14:paraId="13603128" w14:textId="77777777" w:rsidR="00946DB4" w:rsidRPr="00352344" w:rsidRDefault="00946DB4" w:rsidP="00352344">
      <w:pPr>
        <w:spacing w:line="276" w:lineRule="auto"/>
        <w:ind w:firstLine="426"/>
        <w:jc w:val="both"/>
        <w:rPr>
          <w:rFonts w:ascii="Times New Roman" w:eastAsia="Times New Roman" w:hAnsi="Times New Roman" w:cs="Times New Roman"/>
          <w:lang w:val="lt-LT"/>
        </w:rPr>
      </w:pPr>
    </w:p>
    <w:p w14:paraId="7FFD2CA5" w14:textId="61AC6D00" w:rsidR="00946DB4" w:rsidRPr="00352344" w:rsidRDefault="00352344" w:rsidP="00352344">
      <w:pPr>
        <w:spacing w:line="276" w:lineRule="auto"/>
        <w:ind w:firstLine="426"/>
        <w:rPr>
          <w:rFonts w:ascii="Times New Roman" w:hAnsi="Times New Roman" w:cs="Times New Roman"/>
          <w:lang w:val="lt-LT"/>
        </w:rPr>
      </w:pPr>
      <w:r w:rsidRPr="00352344">
        <w:rPr>
          <w:rFonts w:ascii="Times New Roman" w:hAnsi="Times New Roman" w:cs="Times New Roman"/>
          <w:lang w:val="lt-LT"/>
        </w:rPr>
        <w:t>I</w:t>
      </w:r>
      <w:r w:rsidRPr="00352344">
        <w:rPr>
          <w:rFonts w:ascii="Times New Roman" w:hAnsi="Times New Roman" w:cs="Times New Roman"/>
          <w:lang w:val="lt-LT"/>
        </w:rPr>
        <w:t>nformaciją apie pažeidimą galima pateikti atvykus</w:t>
      </w:r>
      <w:r w:rsidRPr="00352344">
        <w:rPr>
          <w:rFonts w:ascii="Times New Roman" w:hAnsi="Times New Roman" w:cs="Times New Roman"/>
          <w:lang w:val="lt-LT"/>
        </w:rPr>
        <w:t xml:space="preserve"> į </w:t>
      </w:r>
      <w:r w:rsidR="00946DB4" w:rsidRPr="00352344">
        <w:rPr>
          <w:rFonts w:ascii="Times New Roman" w:eastAsia="Times New Roman" w:hAnsi="Times New Roman" w:cs="Times New Roman"/>
          <w:lang w:val="lt-LT"/>
        </w:rPr>
        <w:t>Centr</w:t>
      </w:r>
      <w:r w:rsidRPr="00352344">
        <w:rPr>
          <w:rFonts w:ascii="Times New Roman" w:eastAsia="Times New Roman" w:hAnsi="Times New Roman" w:cs="Times New Roman"/>
          <w:lang w:val="lt-LT"/>
        </w:rPr>
        <w:t>ą</w:t>
      </w:r>
      <w:r w:rsidR="00E45EB0" w:rsidRPr="00352344">
        <w:rPr>
          <w:rFonts w:ascii="Times New Roman" w:eastAsia="Times New Roman" w:hAnsi="Times New Roman" w:cs="Times New Roman"/>
          <w:lang w:val="lt-LT"/>
        </w:rPr>
        <w:t xml:space="preserve"> (adres</w:t>
      </w:r>
      <w:r w:rsidRPr="00352344">
        <w:rPr>
          <w:rFonts w:ascii="Times New Roman" w:eastAsia="Times New Roman" w:hAnsi="Times New Roman" w:cs="Times New Roman"/>
          <w:lang w:val="lt-LT"/>
        </w:rPr>
        <w:t>as</w:t>
      </w:r>
      <w:r w:rsidR="00E45EB0" w:rsidRPr="00352344">
        <w:rPr>
          <w:rFonts w:ascii="Times New Roman" w:eastAsia="Times New Roman" w:hAnsi="Times New Roman" w:cs="Times New Roman"/>
          <w:lang w:val="lt-LT"/>
        </w:rPr>
        <w:t xml:space="preserve"> </w:t>
      </w:r>
      <w:proofErr w:type="spellStart"/>
      <w:r w:rsidR="00E45EB0" w:rsidRPr="00352344">
        <w:rPr>
          <w:rFonts w:ascii="Times New Roman" w:eastAsia="Times New Roman" w:hAnsi="Times New Roman" w:cs="Times New Roman"/>
          <w:lang w:val="lt-LT"/>
        </w:rPr>
        <w:t>D.Poškos</w:t>
      </w:r>
      <w:proofErr w:type="spellEnd"/>
      <w:r w:rsidR="00E45EB0" w:rsidRPr="00352344">
        <w:rPr>
          <w:rFonts w:ascii="Times New Roman" w:eastAsia="Times New Roman" w:hAnsi="Times New Roman" w:cs="Times New Roman"/>
          <w:lang w:val="lt-LT"/>
        </w:rPr>
        <w:t xml:space="preserve"> g. 59, Vilnius)</w:t>
      </w:r>
      <w:r w:rsidRPr="00352344">
        <w:rPr>
          <w:rFonts w:ascii="Times New Roman" w:eastAsia="Times New Roman" w:hAnsi="Times New Roman" w:cs="Times New Roman"/>
          <w:lang w:val="lt-LT"/>
        </w:rPr>
        <w:t xml:space="preserve">, paštu, atsiunčiant pranešimą nurodytu adresu, </w:t>
      </w:r>
      <w:r w:rsidRPr="00352344">
        <w:rPr>
          <w:rFonts w:ascii="Times New Roman" w:hAnsi="Times New Roman" w:cs="Times New Roman"/>
          <w:lang w:val="lt-LT"/>
        </w:rPr>
        <w:t>elektroniniu pašt</w:t>
      </w:r>
      <w:r w:rsidRPr="00352344">
        <w:rPr>
          <w:rFonts w:ascii="Times New Roman" w:hAnsi="Times New Roman" w:cs="Times New Roman"/>
          <w:lang w:val="lt-LT"/>
        </w:rPr>
        <w:t xml:space="preserve">u, </w:t>
      </w:r>
      <w:r w:rsidR="00E45EB0" w:rsidRPr="00352344">
        <w:rPr>
          <w:rFonts w:ascii="Times New Roman" w:eastAsia="Times New Roman" w:hAnsi="Times New Roman" w:cs="Times New Roman"/>
          <w:lang w:val="lt-LT"/>
        </w:rPr>
        <w:t xml:space="preserve">atsiunčiant </w:t>
      </w:r>
      <w:r w:rsidRPr="00352344">
        <w:rPr>
          <w:rFonts w:ascii="Times New Roman" w:eastAsia="Times New Roman" w:hAnsi="Times New Roman" w:cs="Times New Roman"/>
          <w:lang w:val="lt-LT"/>
        </w:rPr>
        <w:t>pranešimą</w:t>
      </w:r>
      <w:r w:rsidR="00E45EB0" w:rsidRPr="00352344">
        <w:rPr>
          <w:rFonts w:ascii="Times New Roman" w:eastAsia="Times New Roman" w:hAnsi="Times New Roman" w:cs="Times New Roman"/>
          <w:lang w:val="lt-LT"/>
        </w:rPr>
        <w:t xml:space="preserve"> apie pažeidimą Centro elektroninio pašto adresu </w:t>
      </w:r>
      <w:proofErr w:type="spellStart"/>
      <w:r w:rsidR="00E45EB0" w:rsidRPr="00352344">
        <w:rPr>
          <w:rFonts w:ascii="Times New Roman" w:eastAsia="Times New Roman" w:hAnsi="Times New Roman" w:cs="Times New Roman"/>
          <w:lang w:val="lt-LT"/>
        </w:rPr>
        <w:t>info@eesc.lt</w:t>
      </w:r>
      <w:proofErr w:type="spellEnd"/>
      <w:r w:rsidR="00E45EB0" w:rsidRPr="00352344">
        <w:rPr>
          <w:rFonts w:ascii="Times New Roman" w:eastAsia="Times New Roman" w:hAnsi="Times New Roman" w:cs="Times New Roman"/>
          <w:lang w:val="lt-LT"/>
        </w:rPr>
        <w:t>.;</w:t>
      </w:r>
    </w:p>
    <w:p w14:paraId="285E22F7" w14:textId="77777777" w:rsidR="00352344" w:rsidRPr="00352344" w:rsidRDefault="00352344" w:rsidP="00352344">
      <w:pPr>
        <w:spacing w:line="276" w:lineRule="auto"/>
        <w:ind w:firstLine="426"/>
        <w:jc w:val="both"/>
        <w:rPr>
          <w:rFonts w:ascii="Times New Roman" w:eastAsia="Times New Roman" w:hAnsi="Times New Roman" w:cs="Times New Roman"/>
          <w:lang w:val="lt-LT"/>
        </w:rPr>
      </w:pPr>
    </w:p>
    <w:p w14:paraId="513CB88B" w14:textId="2EDE7C95" w:rsidR="00946DB4" w:rsidRPr="00352344" w:rsidRDefault="00E45EB0"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b/>
          <w:bCs/>
          <w:lang w:val="lt-LT"/>
        </w:rPr>
        <w:lastRenderedPageBreak/>
        <w:t>P</w:t>
      </w:r>
      <w:r w:rsidR="00946DB4" w:rsidRPr="00352344">
        <w:rPr>
          <w:rFonts w:ascii="Times New Roman" w:eastAsia="Times New Roman" w:hAnsi="Times New Roman" w:cs="Times New Roman"/>
          <w:b/>
          <w:bCs/>
          <w:lang w:val="lt-LT"/>
        </w:rPr>
        <w:t>ranešim</w:t>
      </w:r>
      <w:r w:rsidRPr="00352344">
        <w:rPr>
          <w:rFonts w:ascii="Times New Roman" w:eastAsia="Times New Roman" w:hAnsi="Times New Roman" w:cs="Times New Roman"/>
          <w:b/>
          <w:bCs/>
          <w:lang w:val="lt-LT"/>
        </w:rPr>
        <w:t>e</w:t>
      </w:r>
      <w:r w:rsidR="00946DB4" w:rsidRPr="00352344">
        <w:rPr>
          <w:rFonts w:ascii="Times New Roman" w:eastAsia="Times New Roman" w:hAnsi="Times New Roman" w:cs="Times New Roman"/>
          <w:b/>
          <w:bCs/>
          <w:lang w:val="lt-LT"/>
        </w:rPr>
        <w:t xml:space="preserve"> apie pažeidimą </w:t>
      </w:r>
      <w:r w:rsidRPr="00352344">
        <w:rPr>
          <w:rFonts w:ascii="Times New Roman" w:eastAsia="Times New Roman" w:hAnsi="Times New Roman" w:cs="Times New Roman"/>
          <w:b/>
          <w:bCs/>
          <w:lang w:val="lt-LT"/>
        </w:rPr>
        <w:t>reikia</w:t>
      </w:r>
      <w:r w:rsidR="00946DB4" w:rsidRPr="00352344">
        <w:rPr>
          <w:rFonts w:ascii="Times New Roman" w:eastAsia="Times New Roman" w:hAnsi="Times New Roman" w:cs="Times New Roman"/>
          <w:b/>
          <w:bCs/>
          <w:lang w:val="lt-LT"/>
        </w:rPr>
        <w:t xml:space="preserve"> nurod</w:t>
      </w:r>
      <w:r w:rsidRPr="00352344">
        <w:rPr>
          <w:rFonts w:ascii="Times New Roman" w:eastAsia="Times New Roman" w:hAnsi="Times New Roman" w:cs="Times New Roman"/>
          <w:b/>
          <w:bCs/>
          <w:lang w:val="lt-LT"/>
        </w:rPr>
        <w:t>yti</w:t>
      </w:r>
      <w:r w:rsidR="00946DB4" w:rsidRPr="00352344">
        <w:rPr>
          <w:rFonts w:ascii="Times New Roman" w:eastAsia="Times New Roman" w:hAnsi="Times New Roman" w:cs="Times New Roman"/>
          <w:b/>
          <w:bCs/>
          <w:lang w:val="lt-LT"/>
        </w:rPr>
        <w:t>:</w:t>
      </w:r>
    </w:p>
    <w:p w14:paraId="21809147"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savo vardą, pavardę, asmens kodą arba gimimo datą (jeigu asmens kodo neturima), darbovietę, kontaktinius duomenis (gyvenamąją ir (ar) korespondencijos gavimo vietą arba elektroninio pašto adresą, telefono numerį ar kitus duomenis ryšiui palaikyti);</w:t>
      </w:r>
    </w:p>
    <w:p w14:paraId="5C521008"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duomenis apie pažeidimą (kas, kada, kokiu būdu ir kokį pažeidimą rengiasi daryti, daro ar padarė ir pan.);</w:t>
      </w:r>
    </w:p>
    <w:p w14:paraId="533DE86F"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sužinojimo apie pažeidimą datą ir aplinkybes;  </w:t>
      </w:r>
    </w:p>
    <w:p w14:paraId="090AC8E3"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jei įmanoma, bet kokius turimus dokumentus ar informaciją, atskleidžiančią galimo pažeidimo požymius;</w:t>
      </w:r>
    </w:p>
    <w:p w14:paraId="7DC968C7"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ar apie pažeidimą jau yra kam nors pranešęs ir, jei pranešė, kam buvo pranešta, ar buvo gautas atsakymas;</w:t>
      </w:r>
    </w:p>
    <w:p w14:paraId="32C5A2F7" w14:textId="77777777"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kad yra susipažinęs su teisinėmis pasekmėmis už melagingos informacijos teikimą;</w:t>
      </w:r>
    </w:p>
    <w:p w14:paraId="02E05B3D" w14:textId="01DBCB5B" w:rsidR="00946DB4" w:rsidRPr="00352344" w:rsidRDefault="00946DB4" w:rsidP="00352344">
      <w:pPr>
        <w:numPr>
          <w:ilvl w:val="0"/>
          <w:numId w:val="1"/>
        </w:numPr>
        <w:spacing w:line="276" w:lineRule="auto"/>
        <w:ind w:left="0"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kad pranešimas teikiamas vadovaujantis Pranešėjų apsaugos įstatymu.</w:t>
      </w:r>
    </w:p>
    <w:p w14:paraId="07465B48" w14:textId="77777777" w:rsidR="0025609A" w:rsidRPr="00352344" w:rsidRDefault="0025609A" w:rsidP="00352344">
      <w:pPr>
        <w:spacing w:line="276" w:lineRule="auto"/>
        <w:ind w:firstLine="426"/>
        <w:jc w:val="both"/>
        <w:rPr>
          <w:rFonts w:ascii="Times New Roman" w:eastAsia="Times New Roman" w:hAnsi="Times New Roman" w:cs="Times New Roman"/>
          <w:lang w:val="lt-LT"/>
        </w:rPr>
      </w:pPr>
    </w:p>
    <w:p w14:paraId="5A97BDB2" w14:textId="7242C9D8"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Pranešimas turi būti parašytas valstybine kalba, įskaitomai ir pateikiamas pasirašytas.</w:t>
      </w:r>
      <w:r w:rsidR="0025609A" w:rsidRPr="00352344">
        <w:rPr>
          <w:rFonts w:ascii="Times New Roman" w:eastAsia="Times New Roman" w:hAnsi="Times New Roman" w:cs="Times New Roman"/>
          <w:lang w:val="lt-LT"/>
        </w:rPr>
        <w:t xml:space="preserve"> </w:t>
      </w:r>
      <w:r w:rsidRPr="00352344">
        <w:rPr>
          <w:rFonts w:ascii="Times New Roman" w:eastAsia="Times New Roman" w:hAnsi="Times New Roman" w:cs="Times New Roman"/>
          <w:lang w:val="lt-LT"/>
        </w:rPr>
        <w:t>Pranešimus pateikusiems asmenims gali būti taikomos apsaugos, skatinimo ir pagalbos priemonės (konfidencialumo užtikrinimas, draudimas daryti neigiamą poveikį asmeniui, pateikusiam informaciją apie pažeidimą, teisė gauti atlyginimą už vertingą informaciją, teisė gauti kompensaciją, nemokamos teisinės pagalbos užtikrinimas, atleidimas nuo atsakomybės) Įstatymo ir kitų teisės aktų nustatyta tvarka.</w:t>
      </w:r>
    </w:p>
    <w:p w14:paraId="3514991D" w14:textId="77777777" w:rsidR="0025609A" w:rsidRPr="00352344" w:rsidRDefault="0025609A" w:rsidP="00352344">
      <w:pPr>
        <w:spacing w:line="276" w:lineRule="auto"/>
        <w:ind w:firstLine="426"/>
        <w:jc w:val="both"/>
        <w:rPr>
          <w:rFonts w:ascii="Times New Roman" w:eastAsia="Times New Roman" w:hAnsi="Times New Roman" w:cs="Times New Roman"/>
          <w:b/>
          <w:bCs/>
          <w:lang w:val="lt-LT"/>
        </w:rPr>
      </w:pPr>
    </w:p>
    <w:p w14:paraId="004022B9" w14:textId="6953208C"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b/>
          <w:bCs/>
          <w:lang w:val="lt-LT"/>
        </w:rPr>
        <w:t>Asmeniui, pateikusiam informaciją apie pažeidimą, bus taikomas konfidencialumas.</w:t>
      </w:r>
    </w:p>
    <w:p w14:paraId="3780B7EC" w14:textId="77777777"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Reikalavimas užtikrinti konfidencialumą netaikomas, kai:</w:t>
      </w:r>
    </w:p>
    <w:p w14:paraId="601CB2B9" w14:textId="77777777"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1) to raštu prašo asmuo, pateikiantis arba pateikęs informaciją apie pažeidimą;</w:t>
      </w:r>
    </w:p>
    <w:p w14:paraId="7595043D" w14:textId="3C02A22A" w:rsidR="00946DB4" w:rsidRPr="00352344" w:rsidRDefault="00946DB4" w:rsidP="00352344">
      <w:pPr>
        <w:spacing w:line="276" w:lineRule="auto"/>
        <w:ind w:firstLine="426"/>
        <w:jc w:val="both"/>
        <w:rPr>
          <w:rFonts w:ascii="Times New Roman" w:eastAsia="Times New Roman" w:hAnsi="Times New Roman" w:cs="Times New Roman"/>
          <w:lang w:val="lt-LT"/>
        </w:rPr>
      </w:pPr>
      <w:r w:rsidRPr="00352344">
        <w:rPr>
          <w:rFonts w:ascii="Times New Roman" w:eastAsia="Times New Roman" w:hAnsi="Times New Roman" w:cs="Times New Roman"/>
          <w:lang w:val="lt-LT"/>
        </w:rPr>
        <w:t>2) asmuo pateikia žinomai melagingą informaciją.</w:t>
      </w:r>
    </w:p>
    <w:p w14:paraId="05E796A6" w14:textId="77777777" w:rsidR="00946DB4" w:rsidRPr="00352344" w:rsidRDefault="00946DB4" w:rsidP="00352344">
      <w:pPr>
        <w:spacing w:line="276" w:lineRule="auto"/>
        <w:ind w:firstLine="426"/>
        <w:jc w:val="both"/>
        <w:rPr>
          <w:rFonts w:ascii="Times New Roman" w:eastAsia="Times New Roman" w:hAnsi="Times New Roman" w:cs="Times New Roman"/>
          <w:lang w:val="lt-LT"/>
        </w:rPr>
      </w:pPr>
      <w:bookmarkStart w:id="0" w:name="_GoBack"/>
      <w:bookmarkEnd w:id="0"/>
      <w:r w:rsidRPr="00352344">
        <w:rPr>
          <w:rFonts w:ascii="Times New Roman" w:eastAsia="Times New Roman" w:hAnsi="Times New Roman" w:cs="Times New Roman"/>
          <w:lang w:val="lt-LT"/>
        </w:rPr>
        <w:t> </w:t>
      </w:r>
    </w:p>
    <w:p w14:paraId="47CC3655" w14:textId="77777777" w:rsidR="00352344" w:rsidRPr="00352344" w:rsidRDefault="00352344" w:rsidP="00352344">
      <w:pPr>
        <w:spacing w:line="276" w:lineRule="auto"/>
        <w:ind w:firstLine="426"/>
        <w:jc w:val="both"/>
        <w:rPr>
          <w:rFonts w:ascii="Times New Roman" w:eastAsia="Times New Roman" w:hAnsi="Times New Roman" w:cs="Times New Roman"/>
          <w:lang w:val="lt-LT"/>
        </w:rPr>
      </w:pPr>
      <w:r w:rsidRPr="00352344">
        <w:rPr>
          <w:rFonts w:ascii="Times New Roman" w:hAnsi="Times New Roman" w:cs="Times New Roman"/>
          <w:lang w:val="lt-LT"/>
        </w:rPr>
        <w:t xml:space="preserve">Siekiant veiksmingai įgyvendinti Įstatymo nuostatas, Lietuvos Respublikos Vyriausybės 2018 m. lapkričio 14 d. </w:t>
      </w:r>
      <w:hyperlink r:id="rId5" w:history="1">
        <w:r w:rsidRPr="00352344">
          <w:rPr>
            <w:rFonts w:ascii="Times New Roman" w:hAnsi="Times New Roman" w:cs="Times New Roman"/>
            <w:color w:val="0000FF"/>
            <w:u w:val="single"/>
            <w:lang w:val="lt-LT"/>
          </w:rPr>
          <w:t xml:space="preserve">nutarimu </w:t>
        </w:r>
      </w:hyperlink>
      <w:r w:rsidRPr="00352344">
        <w:rPr>
          <w:rFonts w:ascii="Times New Roman" w:hAnsi="Times New Roman" w:cs="Times New Roman"/>
          <w:lang w:val="lt-LT"/>
        </w:rPr>
        <w:t>Nr. 1133 „Dėl Lietuvos Respublikos pranešėjų apsaugos įstatymo įgyvendinimo“ yra patvirtinti:</w:t>
      </w:r>
    </w:p>
    <w:p w14:paraId="004D2AE8" w14:textId="77777777" w:rsidR="00352344" w:rsidRPr="00352344" w:rsidRDefault="00352344" w:rsidP="00352344">
      <w:pPr>
        <w:numPr>
          <w:ilvl w:val="0"/>
          <w:numId w:val="3"/>
        </w:numPr>
        <w:tabs>
          <w:tab w:val="clear" w:pos="720"/>
          <w:tab w:val="num" w:pos="426"/>
        </w:tabs>
        <w:spacing w:line="276" w:lineRule="auto"/>
        <w:ind w:left="0"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atlyginimo pranešėjams už vertingą informaciją tvarkos aprašas;</w:t>
      </w:r>
    </w:p>
    <w:p w14:paraId="2B73B975" w14:textId="77777777" w:rsidR="00352344" w:rsidRPr="00352344" w:rsidRDefault="00352344" w:rsidP="00352344">
      <w:pPr>
        <w:numPr>
          <w:ilvl w:val="0"/>
          <w:numId w:val="3"/>
        </w:numPr>
        <w:tabs>
          <w:tab w:val="clear" w:pos="720"/>
          <w:tab w:val="num" w:pos="426"/>
        </w:tabs>
        <w:spacing w:line="276" w:lineRule="auto"/>
        <w:ind w:left="0"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kompensavimo pranešėjams už patiriamą neigiamą poveikį ar galimus padarinius dėl pateikto pranešimo tvarkos aprašas;</w:t>
      </w:r>
    </w:p>
    <w:p w14:paraId="119E99AC" w14:textId="77777777" w:rsidR="00352344" w:rsidRPr="00352344" w:rsidRDefault="00352344" w:rsidP="00352344">
      <w:pPr>
        <w:numPr>
          <w:ilvl w:val="0"/>
          <w:numId w:val="3"/>
        </w:numPr>
        <w:tabs>
          <w:tab w:val="clear" w:pos="720"/>
          <w:tab w:val="num" w:pos="426"/>
        </w:tabs>
        <w:spacing w:line="276" w:lineRule="auto"/>
        <w:ind w:left="0" w:firstLine="426"/>
        <w:rPr>
          <w:rFonts w:ascii="Times New Roman" w:eastAsia="Times New Roman" w:hAnsi="Times New Roman" w:cs="Times New Roman"/>
          <w:lang w:val="lt-LT"/>
        </w:rPr>
      </w:pPr>
      <w:r w:rsidRPr="00352344">
        <w:rPr>
          <w:rFonts w:ascii="Times New Roman" w:eastAsia="Times New Roman" w:hAnsi="Times New Roman" w:cs="Times New Roman"/>
          <w:lang w:val="lt-LT"/>
        </w:rPr>
        <w:t>vidinių informacijos apie pažeidimus teikimo kanalų įdiegimo ir jų funkcionavimo užtikrinimo tvarkos aprašas.</w:t>
      </w:r>
    </w:p>
    <w:p w14:paraId="5C8DD2D0" w14:textId="77777777" w:rsidR="00946DB4" w:rsidRPr="00352344" w:rsidRDefault="00946DB4" w:rsidP="00352344">
      <w:pPr>
        <w:spacing w:line="276" w:lineRule="auto"/>
        <w:ind w:firstLine="426"/>
        <w:rPr>
          <w:rFonts w:ascii="Times New Roman" w:hAnsi="Times New Roman" w:cs="Times New Roman"/>
          <w:lang w:val="lt-LT"/>
        </w:rPr>
      </w:pPr>
    </w:p>
    <w:sectPr w:rsidR="00946DB4" w:rsidRPr="00352344" w:rsidSect="008648A2">
      <w:pgSz w:w="11900" w:h="16840"/>
      <w:pgMar w:top="1440" w:right="82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714E7"/>
    <w:multiLevelType w:val="multilevel"/>
    <w:tmpl w:val="260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D6F5A"/>
    <w:multiLevelType w:val="multilevel"/>
    <w:tmpl w:val="34D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1352C"/>
    <w:multiLevelType w:val="multilevel"/>
    <w:tmpl w:val="2BCA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B4"/>
    <w:rsid w:val="0025609A"/>
    <w:rsid w:val="0034671E"/>
    <w:rsid w:val="00352344"/>
    <w:rsid w:val="008648A2"/>
    <w:rsid w:val="00946DB4"/>
    <w:rsid w:val="00A800F4"/>
    <w:rsid w:val="00BD3652"/>
    <w:rsid w:val="00C62F88"/>
    <w:rsid w:val="00E4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728B"/>
  <w15:chartTrackingRefBased/>
  <w15:docId w15:val="{F90B5084-7C20-3C48-BB29-0B2CB181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D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6DB4"/>
    <w:rPr>
      <w:b/>
      <w:bCs/>
    </w:rPr>
  </w:style>
  <w:style w:type="character" w:styleId="Hyperlink">
    <w:name w:val="Hyperlink"/>
    <w:basedOn w:val="DefaultParagraphFont"/>
    <w:uiPriority w:val="99"/>
    <w:semiHidden/>
    <w:unhideWhenUsed/>
    <w:rsid w:val="00946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343">
      <w:bodyDiv w:val="1"/>
      <w:marLeft w:val="0"/>
      <w:marRight w:val="0"/>
      <w:marTop w:val="0"/>
      <w:marBottom w:val="0"/>
      <w:divBdr>
        <w:top w:val="none" w:sz="0" w:space="0" w:color="auto"/>
        <w:left w:val="none" w:sz="0" w:space="0" w:color="auto"/>
        <w:bottom w:val="none" w:sz="0" w:space="0" w:color="auto"/>
        <w:right w:val="none" w:sz="0" w:space="0" w:color="auto"/>
      </w:divBdr>
    </w:div>
    <w:div w:id="330526089">
      <w:bodyDiv w:val="1"/>
      <w:marLeft w:val="0"/>
      <w:marRight w:val="0"/>
      <w:marTop w:val="0"/>
      <w:marBottom w:val="0"/>
      <w:divBdr>
        <w:top w:val="none" w:sz="0" w:space="0" w:color="auto"/>
        <w:left w:val="none" w:sz="0" w:space="0" w:color="auto"/>
        <w:bottom w:val="none" w:sz="0" w:space="0" w:color="auto"/>
        <w:right w:val="none" w:sz="0" w:space="0" w:color="auto"/>
      </w:divBdr>
    </w:div>
    <w:div w:id="683167435">
      <w:bodyDiv w:val="1"/>
      <w:marLeft w:val="0"/>
      <w:marRight w:val="0"/>
      <w:marTop w:val="0"/>
      <w:marBottom w:val="0"/>
      <w:divBdr>
        <w:top w:val="none" w:sz="0" w:space="0" w:color="auto"/>
        <w:left w:val="none" w:sz="0" w:space="0" w:color="auto"/>
        <w:bottom w:val="none" w:sz="0" w:space="0" w:color="auto"/>
        <w:right w:val="none" w:sz="0" w:space="0" w:color="auto"/>
      </w:divBdr>
    </w:div>
    <w:div w:id="715154934">
      <w:bodyDiv w:val="1"/>
      <w:marLeft w:val="0"/>
      <w:marRight w:val="0"/>
      <w:marTop w:val="0"/>
      <w:marBottom w:val="0"/>
      <w:divBdr>
        <w:top w:val="none" w:sz="0" w:space="0" w:color="auto"/>
        <w:left w:val="none" w:sz="0" w:space="0" w:color="auto"/>
        <w:bottom w:val="none" w:sz="0" w:space="0" w:color="auto"/>
        <w:right w:val="none" w:sz="0" w:space="0" w:color="auto"/>
      </w:divBdr>
    </w:div>
    <w:div w:id="893396313">
      <w:bodyDiv w:val="1"/>
      <w:marLeft w:val="0"/>
      <w:marRight w:val="0"/>
      <w:marTop w:val="0"/>
      <w:marBottom w:val="0"/>
      <w:divBdr>
        <w:top w:val="none" w:sz="0" w:space="0" w:color="auto"/>
        <w:left w:val="none" w:sz="0" w:space="0" w:color="auto"/>
        <w:bottom w:val="none" w:sz="0" w:space="0" w:color="auto"/>
        <w:right w:val="none" w:sz="0" w:space="0" w:color="auto"/>
      </w:divBdr>
    </w:div>
    <w:div w:id="1109157830">
      <w:bodyDiv w:val="1"/>
      <w:marLeft w:val="0"/>
      <w:marRight w:val="0"/>
      <w:marTop w:val="0"/>
      <w:marBottom w:val="0"/>
      <w:divBdr>
        <w:top w:val="none" w:sz="0" w:space="0" w:color="auto"/>
        <w:left w:val="none" w:sz="0" w:space="0" w:color="auto"/>
        <w:bottom w:val="none" w:sz="0" w:space="0" w:color="auto"/>
        <w:right w:val="none" w:sz="0" w:space="0" w:color="auto"/>
      </w:divBdr>
    </w:div>
    <w:div w:id="1631283736">
      <w:bodyDiv w:val="1"/>
      <w:marLeft w:val="0"/>
      <w:marRight w:val="0"/>
      <w:marTop w:val="0"/>
      <w:marBottom w:val="0"/>
      <w:divBdr>
        <w:top w:val="none" w:sz="0" w:space="0" w:color="auto"/>
        <w:left w:val="none" w:sz="0" w:space="0" w:color="auto"/>
        <w:bottom w:val="none" w:sz="0" w:space="0" w:color="auto"/>
        <w:right w:val="none" w:sz="0" w:space="0" w:color="auto"/>
      </w:divBdr>
    </w:div>
    <w:div w:id="206525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imas.lrs.lt/portal/legalAct/lt/TAD/b146ff50ed8a11e89d4ad92e8434e309?jfwid=-1deuyji1x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635</Words>
  <Characters>4450</Characters>
  <Application>Microsoft Office Word</Application>
  <DocSecurity>0</DocSecurity>
  <Lines>76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dc:creator>
  <cp:keywords/>
  <dc:description/>
  <cp:lastModifiedBy>Milda</cp:lastModifiedBy>
  <cp:revision>6</cp:revision>
  <dcterms:created xsi:type="dcterms:W3CDTF">2023-05-30T14:48:00Z</dcterms:created>
  <dcterms:modified xsi:type="dcterms:W3CDTF">2023-05-30T15:36:00Z</dcterms:modified>
  <cp:category/>
</cp:coreProperties>
</file>